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49" w:rsidRDefault="00B13F49" w:rsidP="00B13F49">
      <w:pPr>
        <w:spacing w:line="360" w:lineRule="auto"/>
        <w:rPr>
          <w:sz w:val="24"/>
          <w:szCs w:val="24"/>
        </w:rPr>
      </w:pPr>
      <w:r>
        <w:t>D</w:t>
      </w:r>
      <w:r>
        <w:t>urch das „</w:t>
      </w:r>
      <w:hyperlink r:id="rId6" w:history="1">
        <w:r>
          <w:rPr>
            <w:rStyle w:val="Hyperlink"/>
            <w:b/>
            <w:bCs/>
            <w:sz w:val="24"/>
            <w:szCs w:val="24"/>
          </w:rPr>
          <w:t>Gesetz zur vorübergehenden Aussetzung der Insolvenzantragspflicht und zur Begrenzung der Organhaftung bei einer COVID-19-Pandemie bedingten Insolvenz</w:t>
        </w:r>
      </w:hyperlink>
      <w:r>
        <w:rPr>
          <w:b/>
          <w:bCs/>
          <w:sz w:val="24"/>
          <w:szCs w:val="24"/>
        </w:rPr>
        <w:t xml:space="preserve">“ (COVID-19-Insolvenzaussetzungsgesetz - </w:t>
      </w:r>
      <w:proofErr w:type="spellStart"/>
      <w:r>
        <w:rPr>
          <w:b/>
          <w:bCs/>
          <w:sz w:val="24"/>
          <w:szCs w:val="24"/>
        </w:rPr>
        <w:t>COVInsAG</w:t>
      </w:r>
      <w:proofErr w:type="spellEnd"/>
      <w:r>
        <w:rPr>
          <w:b/>
          <w:bCs/>
          <w:sz w:val="24"/>
          <w:szCs w:val="24"/>
        </w:rPr>
        <w:t xml:space="preserve">) </w:t>
      </w:r>
      <w:r>
        <w:rPr>
          <w:sz w:val="24"/>
          <w:szCs w:val="24"/>
        </w:rPr>
        <w:t>sind u.a. nachfolgend zusammengefasste Änderungen beschlossen worden (Link führt noch zur Entwurfsfassung):</w:t>
      </w:r>
    </w:p>
    <w:p w:rsidR="00B13F49" w:rsidRDefault="00B13F49" w:rsidP="00B13F49">
      <w:pPr>
        <w:spacing w:line="360" w:lineRule="auto"/>
        <w:rPr>
          <w:sz w:val="24"/>
          <w:szCs w:val="24"/>
        </w:rPr>
      </w:pPr>
    </w:p>
    <w:p w:rsidR="00B13F49" w:rsidRDefault="00B13F49" w:rsidP="00B13F49">
      <w:pPr>
        <w:spacing w:line="360" w:lineRule="auto"/>
        <w:rPr>
          <w:color w:val="13294A"/>
          <w:sz w:val="24"/>
          <w:szCs w:val="24"/>
        </w:rPr>
      </w:pPr>
      <w:r>
        <w:rPr>
          <w:color w:val="13294A"/>
          <w:sz w:val="24"/>
          <w:szCs w:val="24"/>
          <w:shd w:val="clear" w:color="auto" w:fill="FFFFFF"/>
        </w:rPr>
        <w:t xml:space="preserve">Die </w:t>
      </w:r>
      <w:r>
        <w:rPr>
          <w:color w:val="13294A"/>
          <w:sz w:val="24"/>
          <w:szCs w:val="24"/>
          <w:u w:val="single"/>
          <w:shd w:val="clear" w:color="auto" w:fill="FFFFFF"/>
        </w:rPr>
        <w:t>Pflicht zur Stellung eines Insolvenzantrags</w:t>
      </w:r>
      <w:r>
        <w:rPr>
          <w:color w:val="13294A"/>
          <w:sz w:val="24"/>
          <w:szCs w:val="24"/>
          <w:shd w:val="clear" w:color="auto" w:fill="FFFFFF"/>
        </w:rPr>
        <w:t xml:space="preserve"> nach </w:t>
      </w:r>
      <w:hyperlink r:id="rId7" w:tgtFrame="_blank" w:tooltip="§ 15a InsO: Antragspflicht bei juristischen Personen und Gesellschaften ohne Rechtspersönlichkeit" w:history="1">
        <w:r>
          <w:rPr>
            <w:rStyle w:val="Hyperlink"/>
            <w:color w:val="13294A"/>
            <w:sz w:val="24"/>
            <w:szCs w:val="24"/>
            <w:shd w:val="clear" w:color="auto" w:fill="FFFFFF"/>
          </w:rPr>
          <w:t>§ 15a InsO</w:t>
        </w:r>
      </w:hyperlink>
      <w:r>
        <w:rPr>
          <w:sz w:val="24"/>
          <w:szCs w:val="24"/>
        </w:rPr>
        <w:t xml:space="preserve"> </w:t>
      </w:r>
      <w:r>
        <w:rPr>
          <w:color w:val="13294A"/>
          <w:sz w:val="24"/>
          <w:szCs w:val="24"/>
          <w:shd w:val="clear" w:color="auto" w:fill="FFFFFF"/>
        </w:rPr>
        <w:t xml:space="preserve">und nach </w:t>
      </w:r>
      <w:hyperlink r:id="rId8" w:tgtFrame="_blank" w:tooltip="§ 42 BGB: Insolvenz" w:history="1">
        <w:r>
          <w:rPr>
            <w:rStyle w:val="Hyperlink"/>
            <w:color w:val="13294A"/>
            <w:sz w:val="24"/>
            <w:szCs w:val="24"/>
            <w:shd w:val="clear" w:color="auto" w:fill="FFFFFF"/>
          </w:rPr>
          <w:t>§ 42 Absatz 2 BGB</w:t>
        </w:r>
      </w:hyperlink>
      <w:r>
        <w:rPr>
          <w:color w:val="13294A"/>
          <w:sz w:val="24"/>
          <w:szCs w:val="24"/>
          <w:shd w:val="clear" w:color="auto" w:fill="FFFFFF"/>
        </w:rPr>
        <w:t xml:space="preserve"> ist bis zum 30. September 2020 ausgesetzt. Dies gilt nicht, wenn die Insolvenzreife nicht auf den Folgen der Ausbreitung des SARS-CoV-2 (COVID-19-Pandemie) beruht oder wenn keine Aussichten darauf bestehen, eine bestehende Zahlungsunfähigkeit zu beseitigen. War der Schuldner am 31. Dezember 2019 nicht zahlungsunfähig, wird vermutet, dass die Insolvenzreife auf den Auswirkungen der COVID-19-Pandemie beruht. </w:t>
      </w:r>
      <w:r>
        <w:rPr>
          <w:color w:val="13294A"/>
          <w:sz w:val="24"/>
          <w:szCs w:val="24"/>
        </w:rPr>
        <w:t>Die Aussetzung der Insolvenzantragspflicht bis zum 30. September 2020 ist demnach der Regelfall. Sie greift nur dann nicht, wenn die Insolvenzreife nicht auf den Folgen der COVID-19-Pandemie beruht oder generell keine Aussichten auf Beseitigung der Zahlungsunfähigkeit bestehen. Dabei wird eine Vermutungsregel aufgestellt, dass die Insolvenzreife auf den Auswirkungen der Pandemie beruht.</w:t>
      </w:r>
    </w:p>
    <w:p w:rsidR="00B13F49" w:rsidRDefault="00B13F49" w:rsidP="00B13F49">
      <w:pPr>
        <w:spacing w:line="360" w:lineRule="auto"/>
        <w:rPr>
          <w:color w:val="13294A"/>
          <w:sz w:val="24"/>
          <w:szCs w:val="24"/>
        </w:rPr>
      </w:pPr>
      <w:bookmarkStart w:id="0" w:name="_GoBack"/>
      <w:bookmarkEnd w:id="0"/>
    </w:p>
    <w:p w:rsidR="00B13F49" w:rsidRDefault="00B13F49" w:rsidP="00B13F49">
      <w:pPr>
        <w:pStyle w:val="StandardWeb"/>
        <w:shd w:val="clear" w:color="auto" w:fill="FFFFFF"/>
        <w:spacing w:before="0" w:beforeAutospacing="0" w:after="225" w:afterAutospacing="0" w:line="360" w:lineRule="auto"/>
        <w:rPr>
          <w:rFonts w:ascii="Calibri" w:hAnsi="Calibri" w:cs="Calibri"/>
          <w:color w:val="13294A"/>
        </w:rPr>
      </w:pPr>
      <w:r>
        <w:rPr>
          <w:rFonts w:ascii="Calibri" w:hAnsi="Calibri" w:cs="Calibri"/>
          <w:color w:val="13294A"/>
        </w:rPr>
        <w:t xml:space="preserve">Von der Aussetzung der Insolvenzantragspflicht sind Zahlungsunfähigkeit und Überschuldung umfasst. Die Vermutung des Beruhens der Insolvenzreife auf der COVID-19-Pandemie knüpft allerdings nur an die Zahlungsunfähigkeit an. </w:t>
      </w:r>
    </w:p>
    <w:p w:rsidR="00B13F49" w:rsidRDefault="00B13F49" w:rsidP="00B13F49">
      <w:pPr>
        <w:pStyle w:val="StandardWeb"/>
        <w:shd w:val="clear" w:color="auto" w:fill="FFFFFF"/>
        <w:spacing w:before="0" w:beforeAutospacing="0" w:after="225" w:afterAutospacing="0" w:line="360" w:lineRule="auto"/>
        <w:rPr>
          <w:rFonts w:ascii="Calibri" w:hAnsi="Calibri" w:cs="Calibri"/>
          <w:color w:val="13294A"/>
        </w:rPr>
      </w:pPr>
      <w:r>
        <w:rPr>
          <w:rFonts w:ascii="Calibri" w:hAnsi="Calibri" w:cs="Calibri"/>
          <w:color w:val="13294A"/>
        </w:rPr>
        <w:t xml:space="preserve">Auch </w:t>
      </w:r>
      <w:hyperlink r:id="rId9" w:tgtFrame="_blank" w:history="1">
        <w:r>
          <w:rPr>
            <w:rStyle w:val="Hyperlink"/>
            <w:rFonts w:ascii="Calibri" w:hAnsi="Calibri" w:cs="Calibri"/>
            <w:color w:val="13294A"/>
          </w:rPr>
          <w:t>Insolvenzanträge von Gläubigern</w:t>
        </w:r>
      </w:hyperlink>
      <w:r>
        <w:rPr>
          <w:rFonts w:ascii="Calibri" w:hAnsi="Calibri" w:cs="Calibri"/>
          <w:color w:val="13294A"/>
        </w:rPr>
        <w:t xml:space="preserve"> werden durch die Änderungen eingeschränkt. Für Gläubigeranträge, die innerhalb von drei Monaten ab Inkrafttreten des Gesetzes gestellt werden, wird vorausgesetzt, dass der Insolvenzgrund bereits am 1. März 2020 vorlag.</w:t>
      </w:r>
    </w:p>
    <w:p w:rsidR="00B13F49" w:rsidRDefault="00B13F49" w:rsidP="00B13F49">
      <w:pPr>
        <w:spacing w:line="360" w:lineRule="auto"/>
        <w:rPr>
          <w:color w:val="13294A"/>
          <w:sz w:val="24"/>
          <w:szCs w:val="24"/>
          <w:shd w:val="clear" w:color="auto" w:fill="FFFFFF"/>
        </w:rPr>
      </w:pPr>
      <w:r>
        <w:rPr>
          <w:color w:val="13294A"/>
          <w:sz w:val="24"/>
          <w:szCs w:val="24"/>
          <w:shd w:val="clear" w:color="auto" w:fill="FFFFFF"/>
        </w:rPr>
        <w:t xml:space="preserve">Die </w:t>
      </w:r>
      <w:hyperlink r:id="rId10" w:tgtFrame="_blank" w:history="1">
        <w:r>
          <w:rPr>
            <w:rStyle w:val="Hyperlink"/>
            <w:color w:val="13294A"/>
            <w:sz w:val="24"/>
            <w:szCs w:val="24"/>
            <w:shd w:val="clear" w:color="auto" w:fill="FFFFFF"/>
          </w:rPr>
          <w:t>Zahlungsverbote</w:t>
        </w:r>
      </w:hyperlink>
      <w:r>
        <w:rPr>
          <w:color w:val="13294A"/>
          <w:sz w:val="24"/>
          <w:szCs w:val="24"/>
          <w:shd w:val="clear" w:color="auto" w:fill="FFFFFF"/>
        </w:rPr>
        <w:t>, nach denen Geschäftsführer für Zahlungen nach Eintritt der Insolvenzreife persönlich haften, sind nicht grundsätzlich suspendiert. Liegen jedoch die Voraussetzungen der Aussetzung der Insolvenzantragspflicht vor, werden auch die Zahlungsverbote gelockert. Zahlungen, die im ordnungsgemäßen Geschäftsgang erfolgen, insbesondere solche Zahlungen, die der Aufrechterhaltung oder Wiederaufnahme des Geschäftsbetriebes oder der Umsetzung eines Sanierungskonzepts dienen, gelten dann als mit der Sorgfalt eines ordentlichen und gewissenhaften Geschäftsleiters vereinbar und lösen keine Haftung aus.</w:t>
      </w:r>
    </w:p>
    <w:p w:rsidR="00B13F49" w:rsidRDefault="00B13F49" w:rsidP="00B13F49">
      <w:pPr>
        <w:spacing w:line="360" w:lineRule="auto"/>
        <w:rPr>
          <w:color w:val="13294A"/>
          <w:sz w:val="24"/>
          <w:szCs w:val="24"/>
          <w:shd w:val="clear" w:color="auto" w:fill="FFFFFF"/>
        </w:rPr>
      </w:pPr>
    </w:p>
    <w:p w:rsidR="00B13F49" w:rsidRDefault="00B13F49" w:rsidP="00B13F49">
      <w:pPr>
        <w:spacing w:line="360" w:lineRule="auto"/>
        <w:rPr>
          <w:color w:val="13294A"/>
          <w:sz w:val="24"/>
          <w:szCs w:val="24"/>
          <w:shd w:val="clear" w:color="auto" w:fill="FFFFFF"/>
        </w:rPr>
      </w:pPr>
      <w:r>
        <w:rPr>
          <w:color w:val="13294A"/>
          <w:sz w:val="24"/>
          <w:szCs w:val="24"/>
          <w:shd w:val="clear" w:color="auto" w:fill="FFFFFF"/>
        </w:rPr>
        <w:t xml:space="preserve">In </w:t>
      </w:r>
      <w:hyperlink r:id="rId11" w:tgtFrame="_blank" w:tooltip="Art. 240 EGBGB: (weggefallen)" w:history="1">
        <w:r>
          <w:rPr>
            <w:rStyle w:val="Hyperlink"/>
            <w:color w:val="auto"/>
            <w:sz w:val="24"/>
            <w:szCs w:val="24"/>
            <w:u w:val="none"/>
            <w:shd w:val="clear" w:color="auto" w:fill="FFFFFF"/>
          </w:rPr>
          <w:t>Artikel 240 EGBGB</w:t>
        </w:r>
      </w:hyperlink>
      <w:r>
        <w:rPr>
          <w:color w:val="13294A"/>
          <w:sz w:val="24"/>
          <w:szCs w:val="24"/>
          <w:shd w:val="clear" w:color="auto" w:fill="FFFFFF"/>
        </w:rPr>
        <w:t xml:space="preserve"> wird ein </w:t>
      </w:r>
      <w:r>
        <w:rPr>
          <w:color w:val="13294A"/>
          <w:sz w:val="24"/>
          <w:szCs w:val="24"/>
          <w:u w:val="single"/>
          <w:shd w:val="clear" w:color="auto" w:fill="FFFFFF"/>
        </w:rPr>
        <w:t>L</w:t>
      </w:r>
      <w:r>
        <w:rPr>
          <w:sz w:val="24"/>
          <w:szCs w:val="24"/>
          <w:u w:val="single"/>
          <w:shd w:val="clear" w:color="auto" w:fill="FFFFFF"/>
        </w:rPr>
        <w:t>eistungsverweigerungsrecht</w:t>
      </w:r>
      <w:r>
        <w:rPr>
          <w:color w:val="13294A"/>
          <w:sz w:val="24"/>
          <w:szCs w:val="24"/>
          <w:u w:val="single"/>
          <w:shd w:val="clear" w:color="auto" w:fill="FFFFFF"/>
        </w:rPr>
        <w:t xml:space="preserve"> für Verbraucher und Kleinstunternehmer </w:t>
      </w:r>
      <w:r>
        <w:rPr>
          <w:color w:val="13294A"/>
          <w:sz w:val="24"/>
          <w:szCs w:val="24"/>
          <w:shd w:val="clear" w:color="auto" w:fill="FFFFFF"/>
        </w:rPr>
        <w:t>geschaffen, wenn ihre Leistung durch Umstände der COVID-19-Pandemie nicht erbracht werden kann oder die Leistungserbringung für sie unzumutbar wäre.</w:t>
      </w:r>
    </w:p>
    <w:p w:rsidR="00B13F49" w:rsidRDefault="00B13F49" w:rsidP="00B13F49">
      <w:pPr>
        <w:spacing w:line="360" w:lineRule="auto"/>
        <w:rPr>
          <w:color w:val="13294A"/>
          <w:sz w:val="24"/>
          <w:szCs w:val="24"/>
          <w:shd w:val="clear" w:color="auto" w:fill="FFFFFF"/>
        </w:rPr>
      </w:pPr>
    </w:p>
    <w:p w:rsidR="00B13F49" w:rsidRDefault="00B13F49" w:rsidP="00B13F49">
      <w:pPr>
        <w:spacing w:line="360" w:lineRule="auto"/>
        <w:rPr>
          <w:color w:val="13294A"/>
          <w:sz w:val="24"/>
          <w:szCs w:val="24"/>
          <w:shd w:val="clear" w:color="auto" w:fill="FFFFFF"/>
        </w:rPr>
      </w:pPr>
      <w:r>
        <w:rPr>
          <w:sz w:val="24"/>
          <w:szCs w:val="24"/>
          <w:u w:val="single"/>
          <w:shd w:val="clear" w:color="auto" w:fill="FFFFFF"/>
        </w:rPr>
        <w:t>Miet- und Pachtverhältnisse</w:t>
      </w:r>
      <w:r>
        <w:rPr>
          <w:color w:val="13294A"/>
          <w:sz w:val="24"/>
          <w:szCs w:val="24"/>
          <w:shd w:val="clear" w:color="auto" w:fill="FFFFFF"/>
        </w:rPr>
        <w:t xml:space="preserve"> über Grundstücke oder über Räume können durch Vermieter nicht mehr gekündigt werden, soweit der Mieter im Zeitraum vom 1. April 2020 bis 30. Juni 2020 trotz Fälligkeit die Miete nicht leistet und die Nichtleistung auf den Auswirkungen der COVID-19-Pandemie beruht. Der Zusammenhang zwischen COVID-19-Pandemie und Nichtleistung ist glaubhaft zu machen. Schuldner haben also die Möglichkeit, bei Umsatzausfällen auch die durch Miete entstehenden Fixkosten faktisch anzupassen. Die Forderungen entstehen aber trotzdem. Klar dürfte sein, dass eine Sanierung auf Kosten der Vermieter nicht gewollt sein kann.</w:t>
      </w:r>
    </w:p>
    <w:p w:rsidR="00B13F49" w:rsidRDefault="00B13F49" w:rsidP="00B13F49">
      <w:pPr>
        <w:spacing w:line="360" w:lineRule="auto"/>
        <w:rPr>
          <w:color w:val="13294A"/>
          <w:sz w:val="24"/>
          <w:szCs w:val="24"/>
          <w:shd w:val="clear" w:color="auto" w:fill="FFFFFF"/>
        </w:rPr>
      </w:pPr>
    </w:p>
    <w:p w:rsidR="00B13F49" w:rsidRDefault="00B13F49" w:rsidP="00B13F49">
      <w:pPr>
        <w:spacing w:line="360" w:lineRule="auto"/>
        <w:rPr>
          <w:color w:val="13294A"/>
          <w:sz w:val="24"/>
          <w:szCs w:val="24"/>
          <w:shd w:val="clear" w:color="auto" w:fill="FFFFFF"/>
        </w:rPr>
      </w:pPr>
      <w:r>
        <w:rPr>
          <w:color w:val="13294A"/>
          <w:sz w:val="24"/>
          <w:szCs w:val="24"/>
          <w:shd w:val="clear" w:color="auto" w:fill="FFFFFF"/>
        </w:rPr>
        <w:t xml:space="preserve">Für </w:t>
      </w:r>
      <w:r>
        <w:rPr>
          <w:sz w:val="24"/>
          <w:szCs w:val="24"/>
          <w:u w:val="single"/>
          <w:shd w:val="clear" w:color="auto" w:fill="FFFFFF"/>
        </w:rPr>
        <w:t>Darlehensverträge mit Verbrauchern</w:t>
      </w:r>
      <w:r>
        <w:rPr>
          <w:color w:val="13294A"/>
          <w:sz w:val="24"/>
          <w:szCs w:val="24"/>
          <w:shd w:val="clear" w:color="auto" w:fill="FFFFFF"/>
        </w:rPr>
        <w:t>, die vor dem 15. März 2020 abgeschlossen wurden, gilt, dass Ansprüche des Darlehensgebers auf Rückzahlung, Zins- oder Tilgungsleistungen, die zwischen dem 1. April 2020 und dem 30. Juni 2020 fällig werden, mit Eintritt der Fälligkeit für die Dauer von drei Monaten gestundet werden, wenn der Darlehensnehmer infolge der COVID-19-Pandemie Einnahmeausfälle hat, die dazu führen, dass ihm die Erbringung der geschuldeten Leistung nicht zumutbar ist. Kündigungen des Darlehensgebers wegen Zahlungsverzugs oder wesentlicher Verschlechterung der Vermögensverhältnisse des Darlehensnehmers sind solange ausgeschlossen.</w:t>
      </w:r>
    </w:p>
    <w:p w:rsidR="00B13F49" w:rsidRDefault="00B13F49" w:rsidP="00B13F49">
      <w:pPr>
        <w:spacing w:line="360" w:lineRule="auto"/>
        <w:rPr>
          <w:color w:val="13294A"/>
          <w:sz w:val="24"/>
          <w:szCs w:val="24"/>
          <w:shd w:val="clear" w:color="auto" w:fill="FFFFFF"/>
        </w:rPr>
      </w:pPr>
    </w:p>
    <w:p w:rsidR="003D22E0" w:rsidRDefault="003D22E0"/>
    <w:sectPr w:rsidR="003D22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49"/>
    <w:rsid w:val="003D22E0"/>
    <w:rsid w:val="00B13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F4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13F49"/>
    <w:rPr>
      <w:color w:val="0000FF"/>
      <w:u w:val="single"/>
    </w:rPr>
  </w:style>
  <w:style w:type="paragraph" w:styleId="StandardWeb">
    <w:name w:val="Normal (Web)"/>
    <w:basedOn w:val="Standard"/>
    <w:uiPriority w:val="99"/>
    <w:semiHidden/>
    <w:unhideWhenUsed/>
    <w:rsid w:val="00B13F49"/>
    <w:pPr>
      <w:spacing w:before="100" w:beforeAutospacing="1" w:after="100" w:afterAutospacing="1"/>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F4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13F49"/>
    <w:rPr>
      <w:color w:val="0000FF"/>
      <w:u w:val="single"/>
    </w:rPr>
  </w:style>
  <w:style w:type="paragraph" w:styleId="StandardWeb">
    <w:name w:val="Normal (Web)"/>
    <w:basedOn w:val="Standard"/>
    <w:uiPriority w:val="99"/>
    <w:semiHidden/>
    <w:unhideWhenUsed/>
    <w:rsid w:val="00B13F49"/>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jure.org/gesetze/BGB/4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ejure.org/gesetze/InsO/15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ip21.bundestag.de/dip21/btd/19/181/1918110.pdf" TargetMode="External"/><Relationship Id="rId11" Type="http://schemas.openxmlformats.org/officeDocument/2006/relationships/hyperlink" Target="http://dejure.org/gesetze/EGBGB/240.html" TargetMode="External"/><Relationship Id="rId5" Type="http://schemas.openxmlformats.org/officeDocument/2006/relationships/webSettings" Target="webSettings.xml"/><Relationship Id="rId10" Type="http://schemas.openxmlformats.org/officeDocument/2006/relationships/hyperlink" Target="https://www.cmshs-bloggt.de/insolvenzrecht/insolvenz-haftung-von-geschaeftsfuehrern-und-vorstaenden-fuer-zahlungen-in-der-krise/" TargetMode="External"/><Relationship Id="rId4" Type="http://schemas.openxmlformats.org/officeDocument/2006/relationships/settings" Target="settings.xml"/><Relationship Id="rId9" Type="http://schemas.openxmlformats.org/officeDocument/2006/relationships/hyperlink" Target="https://www.cmshs-bloggt.de/insolvenzrecht/insolvenzantrag-durch-glaeubiger-einer-fuer-alle-oder-alles-umsons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c6ac58f4-3f47-4c8b-b077-bf062b3e0273</BSO999929>
</file>

<file path=customXml/itemProps1.xml><?xml version="1.0" encoding="utf-8"?>
<ds:datastoreItem xmlns:ds="http://schemas.openxmlformats.org/officeDocument/2006/customXml" ds:itemID="{9B8B1BB3-0035-4B6F-914A-6FC43AFDA06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Eichholz</dc:creator>
  <cp:lastModifiedBy>Fabian Eichholz</cp:lastModifiedBy>
  <cp:revision>1</cp:revision>
  <dcterms:created xsi:type="dcterms:W3CDTF">2020-03-27T12:48:00Z</dcterms:created>
  <dcterms:modified xsi:type="dcterms:W3CDTF">2020-03-27T12:49:00Z</dcterms:modified>
</cp:coreProperties>
</file>